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AA45E" w14:textId="77777777" w:rsidR="000E02CE" w:rsidRDefault="00100339" w:rsidP="000E02CE">
      <w:pPr>
        <w:ind w:left="720" w:hanging="720"/>
        <w:contextualSpacing/>
        <w:rPr>
          <w:rFonts w:asciiTheme="majorHAnsi" w:eastAsia="Times New Roman" w:hAnsiTheme="majorHAnsi" w:cs="Times New Roman"/>
          <w:bCs/>
        </w:rPr>
      </w:pPr>
      <w:r w:rsidRPr="0010273E">
        <w:rPr>
          <w:rFonts w:asciiTheme="majorHAnsi" w:eastAsia="Times New Roman" w:hAnsiTheme="majorHAnsi" w:cs="Times New Roman"/>
          <w:b/>
          <w:bCs/>
        </w:rPr>
        <w:t>Standard IV-B</w:t>
      </w:r>
      <w:r w:rsidR="0010273E">
        <w:rPr>
          <w:rFonts w:asciiTheme="majorHAnsi" w:eastAsia="Times New Roman" w:hAnsiTheme="majorHAnsi" w:cs="Times New Roman"/>
          <w:b/>
          <w:bCs/>
        </w:rPr>
        <w:t xml:space="preserve">. </w:t>
      </w:r>
      <w:r w:rsidRPr="0010273E">
        <w:rPr>
          <w:rFonts w:asciiTheme="majorHAnsi" w:eastAsia="Times New Roman" w:hAnsiTheme="majorHAnsi" w:cs="Times New Roman"/>
          <w:bCs/>
        </w:rPr>
        <w:t>The applicant must have demonstrated knowledge of basic human communication and swallowing processes, including the appropriate biological, neurological, acoustic, psychological, developmental, and linguistic and cultural bases. The applicant must have demonstrated the ability to integrate information pertaining to normal and abnormal human development across the life span.</w:t>
      </w:r>
    </w:p>
    <w:p w14:paraId="22607740" w14:textId="77777777" w:rsidR="00100339" w:rsidRDefault="00100339" w:rsidP="00736511">
      <w:pPr>
        <w:ind w:left="720" w:hanging="720"/>
        <w:contextualSpacing/>
        <w:rPr>
          <w:rFonts w:asciiTheme="majorHAnsi" w:eastAsia="Times New Roman" w:hAnsiTheme="majorHAnsi" w:cs="Times New Roman"/>
          <w:bCs/>
        </w:rPr>
      </w:pPr>
    </w:p>
    <w:p w14:paraId="69CBA891" w14:textId="77777777" w:rsidR="000E02CE" w:rsidRDefault="000E02CE" w:rsidP="000E02CE">
      <w:pPr>
        <w:rPr>
          <w:rFonts w:asciiTheme="majorHAnsi" w:eastAsia="Times New Roman" w:hAnsiTheme="majorHAnsi" w:cs="Times New Roman"/>
        </w:rPr>
      </w:pPr>
      <w:r>
        <w:rPr>
          <w:rFonts w:asciiTheme="majorHAnsi" w:eastAsia="Times New Roman" w:hAnsiTheme="majorHAnsi" w:cs="Times New Roman"/>
        </w:rPr>
        <w:t>Course offerings through different program vary; a single course may meet more than one area, or an area may be covered by more than one course.</w:t>
      </w:r>
    </w:p>
    <w:tbl>
      <w:tblPr>
        <w:tblStyle w:val="TableGrid"/>
        <w:tblW w:w="0" w:type="auto"/>
        <w:tblLook w:val="04A0" w:firstRow="1" w:lastRow="0" w:firstColumn="1" w:lastColumn="0" w:noHBand="0" w:noVBand="1"/>
      </w:tblPr>
      <w:tblGrid>
        <w:gridCol w:w="4428"/>
        <w:gridCol w:w="2250"/>
        <w:gridCol w:w="3330"/>
        <w:gridCol w:w="2610"/>
        <w:gridCol w:w="1350"/>
      </w:tblGrid>
      <w:tr w:rsidR="004E2519" w:rsidRPr="0010273E" w14:paraId="1FAD3F4F" w14:textId="77777777" w:rsidTr="00E449C2">
        <w:tc>
          <w:tcPr>
            <w:tcW w:w="4428" w:type="dxa"/>
          </w:tcPr>
          <w:p w14:paraId="450EA61B" w14:textId="77777777" w:rsidR="004E2519" w:rsidRPr="0010273E" w:rsidRDefault="004E2519" w:rsidP="00467C58">
            <w:pPr>
              <w:rPr>
                <w:rFonts w:asciiTheme="majorHAnsi" w:eastAsia="Times New Roman" w:hAnsiTheme="majorHAnsi" w:cs="Times New Roman"/>
              </w:rPr>
            </w:pPr>
          </w:p>
        </w:tc>
        <w:tc>
          <w:tcPr>
            <w:tcW w:w="2250" w:type="dxa"/>
          </w:tcPr>
          <w:p w14:paraId="5E073512" w14:textId="39D49DA7" w:rsidR="004E2519" w:rsidRPr="00DB33B3" w:rsidRDefault="00AE5AE9" w:rsidP="00467C58">
            <w:pPr>
              <w:rPr>
                <w:rFonts w:asciiTheme="majorHAnsi" w:eastAsia="Times New Roman" w:hAnsiTheme="majorHAnsi" w:cs="Times New Roman"/>
                <w:highlight w:val="yellow"/>
              </w:rPr>
            </w:pPr>
            <w:r w:rsidRPr="00DB33B3">
              <w:rPr>
                <w:rFonts w:asciiTheme="majorHAnsi" w:eastAsia="Times New Roman" w:hAnsiTheme="majorHAnsi" w:cs="Times New Roman"/>
                <w:highlight w:val="yellow"/>
              </w:rPr>
              <w:t xml:space="preserve">course prefix and number </w:t>
            </w:r>
            <w:r w:rsidRPr="00DB33B3">
              <w:rPr>
                <w:rFonts w:asciiTheme="majorHAnsi" w:eastAsia="Times New Roman" w:hAnsiTheme="majorHAnsi" w:cs="Times New Roman"/>
                <w:sz w:val="20"/>
                <w:szCs w:val="20"/>
                <w:highlight w:val="yellow"/>
              </w:rPr>
              <w:t>(e.g., BIO 101)</w:t>
            </w:r>
          </w:p>
        </w:tc>
        <w:tc>
          <w:tcPr>
            <w:tcW w:w="3330" w:type="dxa"/>
          </w:tcPr>
          <w:p w14:paraId="558BD685" w14:textId="7E13B861" w:rsidR="00AE5AE9" w:rsidRPr="00DB33B3" w:rsidRDefault="004E2519" w:rsidP="00467C58">
            <w:pPr>
              <w:rPr>
                <w:rFonts w:asciiTheme="majorHAnsi" w:eastAsia="Times New Roman" w:hAnsiTheme="majorHAnsi" w:cs="Times New Roman"/>
                <w:highlight w:val="yellow"/>
              </w:rPr>
            </w:pPr>
            <w:r w:rsidRPr="00DB33B3">
              <w:rPr>
                <w:rFonts w:asciiTheme="majorHAnsi" w:eastAsia="Times New Roman" w:hAnsiTheme="majorHAnsi" w:cs="Times New Roman"/>
                <w:highlight w:val="yellow"/>
              </w:rPr>
              <w:t>course name</w:t>
            </w:r>
            <w:r w:rsidR="00AE5AE9" w:rsidRPr="00DB33B3">
              <w:rPr>
                <w:rFonts w:asciiTheme="majorHAnsi" w:eastAsia="Times New Roman" w:hAnsiTheme="majorHAnsi" w:cs="Times New Roman"/>
                <w:highlight w:val="yellow"/>
              </w:rPr>
              <w:t xml:space="preserve">                                    </w:t>
            </w:r>
            <w:r w:rsidR="00AE5AE9" w:rsidRPr="00DB33B3">
              <w:rPr>
                <w:rFonts w:asciiTheme="majorHAnsi" w:eastAsia="Times New Roman" w:hAnsiTheme="majorHAnsi" w:cs="Times New Roman"/>
                <w:sz w:val="21"/>
                <w:szCs w:val="21"/>
                <w:highlight w:val="yellow"/>
              </w:rPr>
              <w:t>as stated on transcript</w:t>
            </w:r>
          </w:p>
        </w:tc>
        <w:tc>
          <w:tcPr>
            <w:tcW w:w="2610" w:type="dxa"/>
          </w:tcPr>
          <w:p w14:paraId="70B18421" w14:textId="77777777" w:rsidR="004E2519" w:rsidRPr="00DB33B3" w:rsidRDefault="008D2FA6" w:rsidP="00467C58">
            <w:pPr>
              <w:rPr>
                <w:rFonts w:asciiTheme="majorHAnsi" w:eastAsia="Times New Roman" w:hAnsiTheme="majorHAnsi" w:cs="Times New Roman"/>
                <w:highlight w:val="yellow"/>
              </w:rPr>
            </w:pPr>
            <w:r w:rsidRPr="00DB33B3">
              <w:rPr>
                <w:rFonts w:asciiTheme="majorHAnsi" w:eastAsia="Times New Roman" w:hAnsiTheme="majorHAnsi" w:cs="Times New Roman"/>
                <w:highlight w:val="yellow"/>
              </w:rPr>
              <w:t>institution and term/year taken</w:t>
            </w:r>
          </w:p>
        </w:tc>
        <w:tc>
          <w:tcPr>
            <w:tcW w:w="1350" w:type="dxa"/>
            <w:shd w:val="clear" w:color="auto" w:fill="D9D9D9" w:themeFill="background1" w:themeFillShade="D9"/>
          </w:tcPr>
          <w:p w14:paraId="6526E1B1" w14:textId="77777777" w:rsidR="004E2519" w:rsidRPr="0010273E" w:rsidRDefault="00E449C2" w:rsidP="00467C58">
            <w:pPr>
              <w:rPr>
                <w:rFonts w:asciiTheme="majorHAnsi" w:eastAsia="Times New Roman" w:hAnsiTheme="majorHAnsi" w:cs="Times New Roman"/>
              </w:rPr>
            </w:pPr>
            <w:r>
              <w:rPr>
                <w:rFonts w:asciiTheme="majorHAnsi" w:eastAsia="Times New Roman" w:hAnsiTheme="majorHAnsi" w:cs="Times New Roman"/>
                <w:i/>
                <w:sz w:val="18"/>
              </w:rPr>
              <w:t xml:space="preserve">department </w:t>
            </w:r>
            <w:r w:rsidRPr="00E449C2">
              <w:rPr>
                <w:rFonts w:asciiTheme="majorHAnsi" w:eastAsia="Times New Roman" w:hAnsiTheme="majorHAnsi" w:cs="Times New Roman"/>
                <w:i/>
                <w:sz w:val="18"/>
              </w:rPr>
              <w:t>confirmation</w:t>
            </w:r>
          </w:p>
        </w:tc>
      </w:tr>
      <w:tr w:rsidR="004E2519" w:rsidRPr="0010273E" w14:paraId="690DB24B" w14:textId="77777777" w:rsidTr="00E449C2">
        <w:tc>
          <w:tcPr>
            <w:tcW w:w="4428" w:type="dxa"/>
          </w:tcPr>
          <w:p w14:paraId="546284C7" w14:textId="77777777" w:rsidR="004E2519" w:rsidRPr="0010273E" w:rsidRDefault="004E2519" w:rsidP="00B26425">
            <w:pPr>
              <w:spacing w:before="100" w:after="100"/>
              <w:contextualSpacing/>
              <w:rPr>
                <w:rFonts w:asciiTheme="majorHAnsi" w:eastAsia="Times New Roman" w:hAnsiTheme="majorHAnsi" w:cs="Times New Roman"/>
                <w:b/>
              </w:rPr>
            </w:pPr>
            <w:r w:rsidRPr="0010273E">
              <w:rPr>
                <w:rFonts w:asciiTheme="majorHAnsi" w:eastAsia="Times New Roman" w:hAnsiTheme="majorHAnsi" w:cs="Times New Roman"/>
                <w:b/>
              </w:rPr>
              <w:t>anatomy/physiology of speech and hearing</w:t>
            </w:r>
          </w:p>
          <w:p w14:paraId="628CA048" w14:textId="77777777" w:rsidR="004E2519" w:rsidRPr="0010273E" w:rsidRDefault="004E2519" w:rsidP="00B26425">
            <w:pPr>
              <w:spacing w:before="100" w:after="100"/>
              <w:contextualSpacing/>
              <w:rPr>
                <w:rFonts w:asciiTheme="majorHAnsi" w:eastAsia="Times New Roman" w:hAnsiTheme="majorHAnsi" w:cs="Times New Roman"/>
                <w:i/>
              </w:rPr>
            </w:pPr>
          </w:p>
        </w:tc>
        <w:tc>
          <w:tcPr>
            <w:tcW w:w="2250" w:type="dxa"/>
          </w:tcPr>
          <w:p w14:paraId="3F91FEE7" w14:textId="77777777" w:rsidR="004E2519" w:rsidRDefault="00B26425" w:rsidP="00B26425">
            <w:pPr>
              <w:spacing w:before="100" w:after="100"/>
              <w:contextualSpacing/>
              <w:rPr>
                <w:rFonts w:asciiTheme="majorHAnsi" w:eastAsia="Times New Roman" w:hAnsiTheme="majorHAnsi" w:cs="Times New Roman"/>
              </w:rPr>
            </w:pPr>
            <w:r>
              <w:rPr>
                <w:rFonts w:asciiTheme="majorHAnsi" w:eastAsia="Times New Roman" w:hAnsiTheme="majorHAnsi" w:cs="Times New Roman"/>
              </w:rPr>
              <w:t>SPHR 371</w:t>
            </w:r>
          </w:p>
          <w:p w14:paraId="3924C513" w14:textId="77777777" w:rsidR="00B26425" w:rsidRDefault="00B26425" w:rsidP="00B26425">
            <w:pPr>
              <w:spacing w:before="100" w:after="100"/>
              <w:contextualSpacing/>
              <w:rPr>
                <w:rFonts w:asciiTheme="majorHAnsi" w:eastAsia="Times New Roman" w:hAnsiTheme="majorHAnsi" w:cs="Times New Roman"/>
              </w:rPr>
            </w:pPr>
          </w:p>
          <w:p w14:paraId="407F76FB" w14:textId="77777777" w:rsidR="00B26425" w:rsidRDefault="00B26425" w:rsidP="00B26425">
            <w:pPr>
              <w:spacing w:before="100" w:after="100"/>
              <w:contextualSpacing/>
              <w:rPr>
                <w:rFonts w:asciiTheme="majorHAnsi" w:eastAsia="Times New Roman" w:hAnsiTheme="majorHAnsi" w:cs="Times New Roman"/>
              </w:rPr>
            </w:pPr>
          </w:p>
          <w:p w14:paraId="47EDC9C4" w14:textId="121165EA" w:rsidR="00B26425" w:rsidRPr="0010273E" w:rsidRDefault="00B26425" w:rsidP="00B26425">
            <w:pPr>
              <w:spacing w:before="100" w:after="100"/>
              <w:contextualSpacing/>
              <w:rPr>
                <w:rFonts w:asciiTheme="majorHAnsi" w:eastAsia="Times New Roman" w:hAnsiTheme="majorHAnsi" w:cs="Times New Roman"/>
              </w:rPr>
            </w:pPr>
            <w:r>
              <w:rPr>
                <w:rFonts w:asciiTheme="majorHAnsi" w:eastAsia="Times New Roman" w:hAnsiTheme="majorHAnsi" w:cs="Times New Roman"/>
              </w:rPr>
              <w:t>SPHR 487</w:t>
            </w:r>
          </w:p>
        </w:tc>
        <w:tc>
          <w:tcPr>
            <w:tcW w:w="3330" w:type="dxa"/>
          </w:tcPr>
          <w:p w14:paraId="709A4557" w14:textId="77777777" w:rsidR="004E2519" w:rsidRDefault="00B26425" w:rsidP="00B26425">
            <w:pPr>
              <w:spacing w:before="100" w:after="100"/>
              <w:contextualSpacing/>
              <w:rPr>
                <w:rFonts w:asciiTheme="majorHAnsi" w:eastAsia="Times New Roman" w:hAnsiTheme="majorHAnsi" w:cs="Times New Roman"/>
              </w:rPr>
            </w:pPr>
            <w:r w:rsidRPr="00B26425">
              <w:rPr>
                <w:rFonts w:asciiTheme="majorHAnsi" w:eastAsia="Times New Roman" w:hAnsiTheme="majorHAnsi" w:cs="Times New Roman"/>
              </w:rPr>
              <w:t>Anatomy and Physiology of Speech and Swallowing</w:t>
            </w:r>
          </w:p>
          <w:p w14:paraId="44A89D0C" w14:textId="77777777" w:rsidR="00B26425" w:rsidRDefault="00B26425" w:rsidP="00B26425">
            <w:pPr>
              <w:spacing w:before="100" w:after="100"/>
              <w:contextualSpacing/>
              <w:rPr>
                <w:rFonts w:asciiTheme="majorHAnsi" w:eastAsia="Times New Roman" w:hAnsiTheme="majorHAnsi" w:cs="Times New Roman"/>
              </w:rPr>
            </w:pPr>
          </w:p>
          <w:p w14:paraId="0862355B" w14:textId="75046521" w:rsidR="00B26425" w:rsidRPr="0010273E" w:rsidRDefault="00B26425" w:rsidP="00B26425">
            <w:pPr>
              <w:spacing w:before="100" w:after="100"/>
              <w:contextualSpacing/>
              <w:rPr>
                <w:rFonts w:asciiTheme="majorHAnsi" w:eastAsia="Times New Roman" w:hAnsiTheme="majorHAnsi" w:cs="Times New Roman"/>
              </w:rPr>
            </w:pPr>
            <w:r w:rsidRPr="00B26425">
              <w:rPr>
                <w:rFonts w:asciiTheme="majorHAnsi" w:eastAsia="Times New Roman" w:hAnsiTheme="majorHAnsi" w:cs="Times New Roman"/>
              </w:rPr>
              <w:t>Hearing Sciences</w:t>
            </w:r>
          </w:p>
        </w:tc>
        <w:tc>
          <w:tcPr>
            <w:tcW w:w="2610" w:type="dxa"/>
          </w:tcPr>
          <w:p w14:paraId="22979BDC" w14:textId="77777777" w:rsidR="004E2519" w:rsidRDefault="00B26425" w:rsidP="00B26425">
            <w:pPr>
              <w:spacing w:before="100" w:after="100"/>
              <w:contextualSpacing/>
              <w:rPr>
                <w:rFonts w:asciiTheme="majorHAnsi" w:eastAsia="Times New Roman" w:hAnsiTheme="majorHAnsi" w:cs="Times New Roman"/>
              </w:rPr>
            </w:pPr>
            <w:r>
              <w:rPr>
                <w:rFonts w:asciiTheme="majorHAnsi" w:eastAsia="Times New Roman" w:hAnsiTheme="majorHAnsi" w:cs="Times New Roman"/>
              </w:rPr>
              <w:t>Portland State Univ (PSU) Fall 2023</w:t>
            </w:r>
          </w:p>
          <w:p w14:paraId="01FC59A6" w14:textId="77777777" w:rsidR="00B26425" w:rsidRDefault="00B26425" w:rsidP="00B26425">
            <w:pPr>
              <w:spacing w:before="100" w:after="100"/>
              <w:contextualSpacing/>
              <w:rPr>
                <w:rFonts w:asciiTheme="majorHAnsi" w:eastAsia="Times New Roman" w:hAnsiTheme="majorHAnsi" w:cs="Times New Roman"/>
              </w:rPr>
            </w:pPr>
          </w:p>
          <w:p w14:paraId="3AA58CAC" w14:textId="7E39FFA5" w:rsidR="00B26425" w:rsidRPr="0010273E" w:rsidRDefault="00B26425" w:rsidP="00B26425">
            <w:pPr>
              <w:spacing w:before="100" w:after="100"/>
              <w:contextualSpacing/>
              <w:rPr>
                <w:rFonts w:asciiTheme="majorHAnsi" w:eastAsia="Times New Roman" w:hAnsiTheme="majorHAnsi" w:cs="Times New Roman"/>
              </w:rPr>
            </w:pPr>
            <w:r>
              <w:rPr>
                <w:rFonts w:asciiTheme="majorHAnsi" w:eastAsia="Times New Roman" w:hAnsiTheme="majorHAnsi" w:cs="Times New Roman"/>
              </w:rPr>
              <w:t>PSU Fall 2024</w:t>
            </w:r>
          </w:p>
        </w:tc>
        <w:tc>
          <w:tcPr>
            <w:tcW w:w="1350" w:type="dxa"/>
            <w:shd w:val="clear" w:color="auto" w:fill="D9D9D9" w:themeFill="background1" w:themeFillShade="D9"/>
          </w:tcPr>
          <w:p w14:paraId="7C126731" w14:textId="77777777" w:rsidR="004E2519" w:rsidRPr="0010273E" w:rsidRDefault="004E2519" w:rsidP="00467C58">
            <w:pPr>
              <w:rPr>
                <w:rFonts w:asciiTheme="majorHAnsi" w:eastAsia="Times New Roman" w:hAnsiTheme="majorHAnsi" w:cs="Times New Roman"/>
              </w:rPr>
            </w:pPr>
          </w:p>
        </w:tc>
      </w:tr>
      <w:tr w:rsidR="004E2519" w:rsidRPr="0010273E" w14:paraId="016329EB" w14:textId="77777777" w:rsidTr="00E449C2">
        <w:tc>
          <w:tcPr>
            <w:tcW w:w="4428" w:type="dxa"/>
          </w:tcPr>
          <w:p w14:paraId="4D7DCBE0" w14:textId="2200F72C" w:rsidR="004E2519" w:rsidRPr="0010273E" w:rsidRDefault="004E2519" w:rsidP="00B26425">
            <w:pPr>
              <w:spacing w:before="100" w:after="100"/>
              <w:contextualSpacing/>
              <w:rPr>
                <w:rFonts w:asciiTheme="majorHAnsi" w:eastAsia="Times New Roman" w:hAnsiTheme="majorHAnsi" w:cs="Times New Roman"/>
                <w:b/>
              </w:rPr>
            </w:pPr>
            <w:r w:rsidRPr="0010273E">
              <w:rPr>
                <w:rFonts w:asciiTheme="majorHAnsi" w:eastAsia="Times New Roman" w:hAnsiTheme="majorHAnsi" w:cs="Times New Roman"/>
                <w:b/>
              </w:rPr>
              <w:t>neuroanatomy/neurophysiology of speech/language/hearing</w:t>
            </w:r>
            <w:r w:rsidR="00AE5AE9">
              <w:rPr>
                <w:rFonts w:asciiTheme="majorHAnsi" w:eastAsia="Times New Roman" w:hAnsiTheme="majorHAnsi" w:cs="Times New Roman"/>
                <w:b/>
              </w:rPr>
              <w:t>**</w:t>
            </w:r>
          </w:p>
          <w:p w14:paraId="6E03280A" w14:textId="77777777" w:rsidR="004E2519" w:rsidRPr="0010273E" w:rsidRDefault="004E2519" w:rsidP="00B26425">
            <w:pPr>
              <w:spacing w:before="100" w:after="100"/>
              <w:contextualSpacing/>
              <w:rPr>
                <w:rFonts w:asciiTheme="majorHAnsi" w:eastAsia="Times New Roman" w:hAnsiTheme="majorHAnsi" w:cs="Times New Roman"/>
                <w:b/>
              </w:rPr>
            </w:pPr>
          </w:p>
        </w:tc>
        <w:tc>
          <w:tcPr>
            <w:tcW w:w="2250" w:type="dxa"/>
          </w:tcPr>
          <w:p w14:paraId="0A23F568" w14:textId="3D563BC8" w:rsidR="004E2519" w:rsidRPr="0010273E" w:rsidRDefault="00B26425" w:rsidP="00B26425">
            <w:pPr>
              <w:spacing w:before="100" w:after="100"/>
              <w:contextualSpacing/>
              <w:rPr>
                <w:rFonts w:asciiTheme="majorHAnsi" w:eastAsia="Times New Roman" w:hAnsiTheme="majorHAnsi" w:cs="Times New Roman"/>
              </w:rPr>
            </w:pPr>
            <w:r>
              <w:rPr>
                <w:rFonts w:asciiTheme="majorHAnsi" w:eastAsia="Times New Roman" w:hAnsiTheme="majorHAnsi" w:cs="Times New Roman"/>
              </w:rPr>
              <w:t>SPHR 461</w:t>
            </w:r>
          </w:p>
        </w:tc>
        <w:tc>
          <w:tcPr>
            <w:tcW w:w="3330" w:type="dxa"/>
          </w:tcPr>
          <w:p w14:paraId="208A4E4E" w14:textId="3D6B6EBE" w:rsidR="004E2519" w:rsidRPr="0010273E" w:rsidRDefault="00B26425" w:rsidP="00B26425">
            <w:pPr>
              <w:spacing w:before="100" w:after="100"/>
              <w:contextualSpacing/>
              <w:rPr>
                <w:rFonts w:asciiTheme="majorHAnsi" w:eastAsia="Times New Roman" w:hAnsiTheme="majorHAnsi" w:cs="Times New Roman"/>
              </w:rPr>
            </w:pPr>
            <w:r w:rsidRPr="00B26425">
              <w:rPr>
                <w:rFonts w:asciiTheme="majorHAnsi" w:eastAsia="Times New Roman" w:hAnsiTheme="majorHAnsi" w:cs="Times New Roman"/>
              </w:rPr>
              <w:t>Neurology of Speech and Hearing</w:t>
            </w:r>
          </w:p>
        </w:tc>
        <w:tc>
          <w:tcPr>
            <w:tcW w:w="2610" w:type="dxa"/>
          </w:tcPr>
          <w:p w14:paraId="74EAD0A9" w14:textId="1613EC65" w:rsidR="004E2519" w:rsidRPr="0010273E" w:rsidRDefault="00B26425" w:rsidP="00B26425">
            <w:pPr>
              <w:spacing w:before="100" w:after="100"/>
              <w:contextualSpacing/>
              <w:rPr>
                <w:rFonts w:asciiTheme="majorHAnsi" w:eastAsia="Times New Roman" w:hAnsiTheme="majorHAnsi" w:cs="Times New Roman"/>
              </w:rPr>
            </w:pPr>
            <w:r>
              <w:rPr>
                <w:rFonts w:asciiTheme="majorHAnsi" w:eastAsia="Times New Roman" w:hAnsiTheme="majorHAnsi" w:cs="Times New Roman"/>
              </w:rPr>
              <w:t>PSU Winter 2024</w:t>
            </w:r>
          </w:p>
        </w:tc>
        <w:tc>
          <w:tcPr>
            <w:tcW w:w="1350" w:type="dxa"/>
            <w:shd w:val="clear" w:color="auto" w:fill="D9D9D9" w:themeFill="background1" w:themeFillShade="D9"/>
          </w:tcPr>
          <w:p w14:paraId="6F53EACA" w14:textId="77777777" w:rsidR="004E2519" w:rsidRPr="0010273E" w:rsidRDefault="004E2519" w:rsidP="00467C58">
            <w:pPr>
              <w:rPr>
                <w:rFonts w:asciiTheme="majorHAnsi" w:eastAsia="Times New Roman" w:hAnsiTheme="majorHAnsi" w:cs="Times New Roman"/>
              </w:rPr>
            </w:pPr>
          </w:p>
        </w:tc>
      </w:tr>
      <w:tr w:rsidR="004E2519" w:rsidRPr="0010273E" w14:paraId="46BAF12E" w14:textId="77777777" w:rsidTr="00E449C2">
        <w:tc>
          <w:tcPr>
            <w:tcW w:w="4428" w:type="dxa"/>
          </w:tcPr>
          <w:p w14:paraId="544BCA73" w14:textId="77777777" w:rsidR="004E2519" w:rsidRPr="0010273E" w:rsidRDefault="004E2519" w:rsidP="00B26425">
            <w:pPr>
              <w:spacing w:before="100" w:after="100"/>
              <w:contextualSpacing/>
              <w:rPr>
                <w:rFonts w:asciiTheme="majorHAnsi" w:eastAsia="Times New Roman" w:hAnsiTheme="majorHAnsi" w:cs="Times New Roman"/>
                <w:i/>
              </w:rPr>
            </w:pPr>
            <w:r w:rsidRPr="0010273E">
              <w:rPr>
                <w:rFonts w:asciiTheme="majorHAnsi" w:eastAsia="Times New Roman" w:hAnsiTheme="majorHAnsi" w:cs="Times New Roman"/>
                <w:b/>
              </w:rPr>
              <w:t xml:space="preserve">acoustics </w:t>
            </w:r>
            <w:r w:rsidRPr="0010273E">
              <w:rPr>
                <w:rFonts w:asciiTheme="majorHAnsi" w:eastAsia="Times New Roman" w:hAnsiTheme="majorHAnsi" w:cs="Times New Roman"/>
              </w:rPr>
              <w:t>(speech and/or hearing science)</w:t>
            </w:r>
          </w:p>
          <w:p w14:paraId="7AA292D0" w14:textId="77777777" w:rsidR="004E2519" w:rsidRPr="0010273E" w:rsidRDefault="004E2519" w:rsidP="00B26425">
            <w:pPr>
              <w:spacing w:before="100" w:after="100"/>
              <w:contextualSpacing/>
              <w:rPr>
                <w:rFonts w:asciiTheme="majorHAnsi" w:eastAsia="Times New Roman" w:hAnsiTheme="majorHAnsi" w:cs="Times New Roman"/>
                <w:i/>
              </w:rPr>
            </w:pPr>
          </w:p>
        </w:tc>
        <w:tc>
          <w:tcPr>
            <w:tcW w:w="2250" w:type="dxa"/>
          </w:tcPr>
          <w:p w14:paraId="49E73697" w14:textId="38861856" w:rsidR="004E2519" w:rsidRPr="0010273E" w:rsidRDefault="00B26425" w:rsidP="00B26425">
            <w:pPr>
              <w:spacing w:before="100" w:after="100"/>
              <w:contextualSpacing/>
              <w:rPr>
                <w:rFonts w:asciiTheme="majorHAnsi" w:eastAsia="Times New Roman" w:hAnsiTheme="majorHAnsi" w:cs="Times New Roman"/>
              </w:rPr>
            </w:pPr>
            <w:r>
              <w:rPr>
                <w:rFonts w:asciiTheme="majorHAnsi" w:eastAsia="Times New Roman" w:hAnsiTheme="majorHAnsi" w:cs="Times New Roman"/>
              </w:rPr>
              <w:t>SPHR 370</w:t>
            </w:r>
          </w:p>
        </w:tc>
        <w:tc>
          <w:tcPr>
            <w:tcW w:w="3330" w:type="dxa"/>
          </w:tcPr>
          <w:p w14:paraId="4626109A" w14:textId="70D345AF" w:rsidR="004E2519" w:rsidRPr="0010273E" w:rsidRDefault="00B26425" w:rsidP="00B26425">
            <w:pPr>
              <w:spacing w:before="100" w:after="100"/>
              <w:contextualSpacing/>
              <w:rPr>
                <w:rFonts w:asciiTheme="majorHAnsi" w:eastAsia="Times New Roman" w:hAnsiTheme="majorHAnsi" w:cs="Times New Roman"/>
              </w:rPr>
            </w:pPr>
            <w:r w:rsidRPr="00B26425">
              <w:rPr>
                <w:rFonts w:asciiTheme="majorHAnsi" w:eastAsia="Times New Roman" w:hAnsiTheme="majorHAnsi" w:cs="Times New Roman"/>
              </w:rPr>
              <w:t>Phonetics and Acoustics</w:t>
            </w:r>
          </w:p>
        </w:tc>
        <w:tc>
          <w:tcPr>
            <w:tcW w:w="2610" w:type="dxa"/>
          </w:tcPr>
          <w:p w14:paraId="3D57C44E" w14:textId="125614F6" w:rsidR="004E2519" w:rsidRPr="0010273E" w:rsidRDefault="00B26425" w:rsidP="00B26425">
            <w:pPr>
              <w:spacing w:before="100" w:after="100"/>
              <w:contextualSpacing/>
              <w:rPr>
                <w:rFonts w:asciiTheme="majorHAnsi" w:eastAsia="Times New Roman" w:hAnsiTheme="majorHAnsi" w:cs="Times New Roman"/>
              </w:rPr>
            </w:pPr>
            <w:r>
              <w:rPr>
                <w:rFonts w:asciiTheme="majorHAnsi" w:eastAsia="Times New Roman" w:hAnsiTheme="majorHAnsi" w:cs="Times New Roman"/>
              </w:rPr>
              <w:t>PSU Spring 2024</w:t>
            </w:r>
          </w:p>
        </w:tc>
        <w:tc>
          <w:tcPr>
            <w:tcW w:w="1350" w:type="dxa"/>
            <w:shd w:val="clear" w:color="auto" w:fill="D9D9D9" w:themeFill="background1" w:themeFillShade="D9"/>
          </w:tcPr>
          <w:p w14:paraId="6B12AE70" w14:textId="77777777" w:rsidR="004E2519" w:rsidRPr="0010273E" w:rsidRDefault="004E2519" w:rsidP="00467C58">
            <w:pPr>
              <w:rPr>
                <w:rFonts w:asciiTheme="majorHAnsi" w:eastAsia="Times New Roman" w:hAnsiTheme="majorHAnsi" w:cs="Times New Roman"/>
              </w:rPr>
            </w:pPr>
          </w:p>
        </w:tc>
      </w:tr>
      <w:tr w:rsidR="00B26425" w:rsidRPr="0010273E" w14:paraId="29BAD52F" w14:textId="77777777" w:rsidTr="00E449C2">
        <w:tc>
          <w:tcPr>
            <w:tcW w:w="4428" w:type="dxa"/>
          </w:tcPr>
          <w:p w14:paraId="0CC33A2C" w14:textId="77777777" w:rsidR="00B26425" w:rsidRPr="0010273E" w:rsidRDefault="00B26425" w:rsidP="00B26425">
            <w:pPr>
              <w:spacing w:before="100" w:after="100"/>
              <w:contextualSpacing/>
              <w:rPr>
                <w:rFonts w:asciiTheme="majorHAnsi" w:eastAsia="Times New Roman" w:hAnsiTheme="majorHAnsi" w:cs="Times New Roman"/>
                <w:b/>
              </w:rPr>
            </w:pPr>
            <w:r w:rsidRPr="0010273E">
              <w:rPr>
                <w:rFonts w:asciiTheme="majorHAnsi" w:eastAsia="Times New Roman" w:hAnsiTheme="majorHAnsi" w:cs="Times New Roman"/>
                <w:b/>
              </w:rPr>
              <w:t>phonetics</w:t>
            </w:r>
          </w:p>
          <w:p w14:paraId="389B4FE6" w14:textId="77777777" w:rsidR="00B26425" w:rsidRPr="0010273E" w:rsidRDefault="00B26425" w:rsidP="00B26425">
            <w:pPr>
              <w:spacing w:before="100" w:after="100"/>
              <w:contextualSpacing/>
              <w:rPr>
                <w:rFonts w:asciiTheme="majorHAnsi" w:eastAsia="Times New Roman" w:hAnsiTheme="majorHAnsi" w:cs="Times New Roman"/>
                <w:i/>
              </w:rPr>
            </w:pPr>
          </w:p>
        </w:tc>
        <w:tc>
          <w:tcPr>
            <w:tcW w:w="2250" w:type="dxa"/>
          </w:tcPr>
          <w:p w14:paraId="395500F3" w14:textId="4DBFDC5C" w:rsidR="00B26425" w:rsidRPr="0010273E" w:rsidRDefault="00B26425" w:rsidP="00B26425">
            <w:pPr>
              <w:spacing w:before="100" w:after="100"/>
              <w:contextualSpacing/>
              <w:rPr>
                <w:rFonts w:asciiTheme="majorHAnsi" w:eastAsia="Times New Roman" w:hAnsiTheme="majorHAnsi" w:cs="Times New Roman"/>
              </w:rPr>
            </w:pPr>
            <w:r>
              <w:rPr>
                <w:rFonts w:asciiTheme="majorHAnsi" w:eastAsia="Times New Roman" w:hAnsiTheme="majorHAnsi" w:cs="Times New Roman"/>
              </w:rPr>
              <w:t>SPHR 370</w:t>
            </w:r>
          </w:p>
        </w:tc>
        <w:tc>
          <w:tcPr>
            <w:tcW w:w="3330" w:type="dxa"/>
          </w:tcPr>
          <w:p w14:paraId="0D122E51" w14:textId="547596E7" w:rsidR="00B26425" w:rsidRPr="0010273E" w:rsidRDefault="00B26425" w:rsidP="00B26425">
            <w:pPr>
              <w:spacing w:before="100" w:after="100"/>
              <w:contextualSpacing/>
              <w:rPr>
                <w:rFonts w:asciiTheme="majorHAnsi" w:eastAsia="Times New Roman" w:hAnsiTheme="majorHAnsi" w:cs="Times New Roman"/>
              </w:rPr>
            </w:pPr>
            <w:r w:rsidRPr="00B26425">
              <w:rPr>
                <w:rFonts w:asciiTheme="majorHAnsi" w:eastAsia="Times New Roman" w:hAnsiTheme="majorHAnsi" w:cs="Times New Roman"/>
              </w:rPr>
              <w:t>Phonetics and Acoustics</w:t>
            </w:r>
          </w:p>
        </w:tc>
        <w:tc>
          <w:tcPr>
            <w:tcW w:w="2610" w:type="dxa"/>
          </w:tcPr>
          <w:p w14:paraId="0D878A35" w14:textId="454810F6" w:rsidR="00B26425" w:rsidRPr="0010273E" w:rsidRDefault="00B26425" w:rsidP="00B26425">
            <w:pPr>
              <w:spacing w:before="100" w:after="100"/>
              <w:contextualSpacing/>
              <w:rPr>
                <w:rFonts w:asciiTheme="majorHAnsi" w:eastAsia="Times New Roman" w:hAnsiTheme="majorHAnsi" w:cs="Times New Roman"/>
              </w:rPr>
            </w:pPr>
            <w:r>
              <w:rPr>
                <w:rFonts w:asciiTheme="majorHAnsi" w:eastAsia="Times New Roman" w:hAnsiTheme="majorHAnsi" w:cs="Times New Roman"/>
              </w:rPr>
              <w:t>PSU Spring 2024</w:t>
            </w:r>
          </w:p>
        </w:tc>
        <w:tc>
          <w:tcPr>
            <w:tcW w:w="1350" w:type="dxa"/>
            <w:shd w:val="clear" w:color="auto" w:fill="D9D9D9" w:themeFill="background1" w:themeFillShade="D9"/>
          </w:tcPr>
          <w:p w14:paraId="23CDD03F" w14:textId="77777777" w:rsidR="00B26425" w:rsidRPr="0010273E" w:rsidRDefault="00B26425" w:rsidP="00B26425">
            <w:pPr>
              <w:rPr>
                <w:rFonts w:asciiTheme="majorHAnsi" w:eastAsia="Times New Roman" w:hAnsiTheme="majorHAnsi" w:cs="Times New Roman"/>
              </w:rPr>
            </w:pPr>
          </w:p>
        </w:tc>
      </w:tr>
      <w:tr w:rsidR="00B26425" w:rsidRPr="0010273E" w14:paraId="6E28AFEC" w14:textId="77777777" w:rsidTr="00E449C2">
        <w:tc>
          <w:tcPr>
            <w:tcW w:w="4428" w:type="dxa"/>
          </w:tcPr>
          <w:p w14:paraId="7F912CCF" w14:textId="77777777" w:rsidR="00B26425" w:rsidRPr="0010273E" w:rsidRDefault="00B26425" w:rsidP="00B26425">
            <w:pPr>
              <w:spacing w:before="100" w:after="100"/>
              <w:contextualSpacing/>
              <w:rPr>
                <w:rFonts w:asciiTheme="majorHAnsi" w:eastAsia="Times New Roman" w:hAnsiTheme="majorHAnsi" w:cs="Times New Roman"/>
                <w:i/>
              </w:rPr>
            </w:pPr>
            <w:r w:rsidRPr="0010273E">
              <w:rPr>
                <w:rFonts w:asciiTheme="majorHAnsi" w:eastAsia="Times New Roman" w:hAnsiTheme="majorHAnsi" w:cs="Times New Roman"/>
                <w:b/>
              </w:rPr>
              <w:t>normal speech and language development</w:t>
            </w:r>
          </w:p>
          <w:p w14:paraId="7F70FF00" w14:textId="77777777" w:rsidR="00B26425" w:rsidRPr="0010273E" w:rsidRDefault="00B26425" w:rsidP="00B26425">
            <w:pPr>
              <w:spacing w:before="100" w:after="100"/>
              <w:contextualSpacing/>
              <w:rPr>
                <w:rFonts w:asciiTheme="majorHAnsi" w:eastAsia="Times New Roman" w:hAnsiTheme="majorHAnsi" w:cs="Times New Roman"/>
              </w:rPr>
            </w:pPr>
          </w:p>
        </w:tc>
        <w:tc>
          <w:tcPr>
            <w:tcW w:w="2250" w:type="dxa"/>
          </w:tcPr>
          <w:p w14:paraId="2CF3A24E" w14:textId="4007D193" w:rsidR="00B26425" w:rsidRPr="0010273E" w:rsidRDefault="00B26425" w:rsidP="00B26425">
            <w:pPr>
              <w:spacing w:before="100" w:after="100"/>
              <w:contextualSpacing/>
              <w:rPr>
                <w:rFonts w:asciiTheme="majorHAnsi" w:eastAsia="Times New Roman" w:hAnsiTheme="majorHAnsi" w:cs="Times New Roman"/>
              </w:rPr>
            </w:pPr>
            <w:r>
              <w:rPr>
                <w:rFonts w:asciiTheme="majorHAnsi" w:eastAsia="Times New Roman" w:hAnsiTheme="majorHAnsi" w:cs="Times New Roman"/>
              </w:rPr>
              <w:t>SPHR 372U</w:t>
            </w:r>
          </w:p>
        </w:tc>
        <w:tc>
          <w:tcPr>
            <w:tcW w:w="3330" w:type="dxa"/>
          </w:tcPr>
          <w:p w14:paraId="19A65531" w14:textId="4E6DDC48" w:rsidR="00B26425" w:rsidRPr="0010273E" w:rsidRDefault="00B26425" w:rsidP="00B26425">
            <w:pPr>
              <w:spacing w:before="100" w:after="100"/>
              <w:contextualSpacing/>
              <w:rPr>
                <w:rFonts w:asciiTheme="majorHAnsi" w:eastAsia="Times New Roman" w:hAnsiTheme="majorHAnsi" w:cs="Times New Roman"/>
              </w:rPr>
            </w:pPr>
            <w:r w:rsidRPr="00B26425">
              <w:rPr>
                <w:rFonts w:asciiTheme="majorHAnsi" w:eastAsia="Times New Roman" w:hAnsiTheme="majorHAnsi" w:cs="Times New Roman"/>
              </w:rPr>
              <w:t>Speech and Language Development in Children</w:t>
            </w:r>
          </w:p>
        </w:tc>
        <w:tc>
          <w:tcPr>
            <w:tcW w:w="2610" w:type="dxa"/>
          </w:tcPr>
          <w:p w14:paraId="1D1EFDE3" w14:textId="3323E2A2" w:rsidR="00B26425" w:rsidRPr="0010273E" w:rsidRDefault="00B26425" w:rsidP="00B26425">
            <w:pPr>
              <w:spacing w:before="100" w:after="100"/>
              <w:contextualSpacing/>
              <w:rPr>
                <w:rFonts w:asciiTheme="majorHAnsi" w:eastAsia="Times New Roman" w:hAnsiTheme="majorHAnsi" w:cs="Times New Roman"/>
              </w:rPr>
            </w:pPr>
            <w:r>
              <w:rPr>
                <w:rFonts w:asciiTheme="majorHAnsi" w:eastAsia="Times New Roman" w:hAnsiTheme="majorHAnsi" w:cs="Times New Roman"/>
              </w:rPr>
              <w:t>PSU Fall 2023</w:t>
            </w:r>
          </w:p>
        </w:tc>
        <w:tc>
          <w:tcPr>
            <w:tcW w:w="1350" w:type="dxa"/>
            <w:shd w:val="clear" w:color="auto" w:fill="D9D9D9" w:themeFill="background1" w:themeFillShade="D9"/>
          </w:tcPr>
          <w:p w14:paraId="48FEB313" w14:textId="77777777" w:rsidR="00B26425" w:rsidRPr="0010273E" w:rsidRDefault="00B26425" w:rsidP="00B26425">
            <w:pPr>
              <w:rPr>
                <w:rFonts w:asciiTheme="majorHAnsi" w:eastAsia="Times New Roman" w:hAnsiTheme="majorHAnsi" w:cs="Times New Roman"/>
              </w:rPr>
            </w:pPr>
          </w:p>
        </w:tc>
      </w:tr>
    </w:tbl>
    <w:p w14:paraId="29F1F0A3" w14:textId="3C2DA3E0" w:rsidR="0010273E" w:rsidRPr="00AE5AE9" w:rsidRDefault="00AE5AE9" w:rsidP="0010273E">
      <w:pPr>
        <w:contextualSpacing/>
        <w:rPr>
          <w:rFonts w:asciiTheme="majorHAnsi" w:eastAsia="Times New Roman" w:hAnsiTheme="majorHAnsi" w:cs="Times New Roman"/>
        </w:rPr>
      </w:pPr>
      <w:r w:rsidRPr="00D43902">
        <w:rPr>
          <w:rFonts w:asciiTheme="majorHAnsi" w:eastAsia="Times New Roman" w:hAnsiTheme="majorHAnsi" w:cs="Times New Roman"/>
          <w:highlight w:val="yellow"/>
        </w:rPr>
        <w:t>**Note:  a stand-alone course or one with heavy emphasis in neuroanatomy/neurophysiology is required; a course in neurological disorders does not meet the requirement.</w:t>
      </w:r>
    </w:p>
    <w:p w14:paraId="0B6768EC" w14:textId="77777777" w:rsidR="00AE5AE9" w:rsidRDefault="00AE5AE9" w:rsidP="0010273E">
      <w:pPr>
        <w:contextualSpacing/>
        <w:rPr>
          <w:rFonts w:asciiTheme="majorHAnsi" w:eastAsia="Times New Roman" w:hAnsiTheme="majorHAnsi" w:cs="Times New Roman"/>
          <w:b/>
          <w:bCs/>
        </w:rPr>
      </w:pPr>
    </w:p>
    <w:p w14:paraId="41A97974" w14:textId="32914DEE" w:rsidR="00D61A9D" w:rsidRPr="0010273E" w:rsidRDefault="000E02CE" w:rsidP="0010273E">
      <w:pPr>
        <w:contextualSpacing/>
        <w:rPr>
          <w:rFonts w:asciiTheme="majorHAnsi" w:eastAsia="Times New Roman" w:hAnsiTheme="majorHAnsi" w:cs="Times New Roman"/>
          <w:bCs/>
        </w:rPr>
      </w:pPr>
      <w:r>
        <w:rPr>
          <w:rFonts w:asciiTheme="majorHAnsi" w:eastAsia="Times New Roman" w:hAnsiTheme="majorHAnsi" w:cs="Times New Roman"/>
          <w:b/>
          <w:bCs/>
        </w:rPr>
        <w:t>S</w:t>
      </w:r>
      <w:r w:rsidR="00D61A9D" w:rsidRPr="00D61A9D">
        <w:rPr>
          <w:rFonts w:asciiTheme="majorHAnsi" w:eastAsia="Times New Roman" w:hAnsiTheme="majorHAnsi" w:cs="Times New Roman"/>
          <w:b/>
          <w:bCs/>
        </w:rPr>
        <w:t>tandard IV-C</w:t>
      </w:r>
      <w:r w:rsidR="0010273E">
        <w:rPr>
          <w:rFonts w:asciiTheme="majorHAnsi" w:eastAsia="Times New Roman" w:hAnsiTheme="majorHAnsi" w:cs="Times New Roman"/>
          <w:b/>
          <w:bCs/>
        </w:rPr>
        <w:t xml:space="preserve">.  </w:t>
      </w:r>
      <w:r w:rsidR="00D61A9D" w:rsidRPr="00D61A9D">
        <w:rPr>
          <w:rFonts w:asciiTheme="majorHAnsi" w:eastAsia="Times New Roman" w:hAnsiTheme="majorHAnsi" w:cs="Times New Roman"/>
          <w:bCs/>
        </w:rPr>
        <w:t>The applicant must have demonstrated knowledge of communication and swallowing disorders and differences, including the appropriate etiologies, characteristics, anatomical/physiological, acoustic, psychological, developmental, and lin</w:t>
      </w:r>
      <w:r w:rsidR="003416D2" w:rsidRPr="0010273E">
        <w:rPr>
          <w:rFonts w:asciiTheme="majorHAnsi" w:eastAsia="Times New Roman" w:hAnsiTheme="majorHAnsi" w:cs="Times New Roman"/>
          <w:bCs/>
        </w:rPr>
        <w:t>guistic and cultural correlates.</w:t>
      </w:r>
    </w:p>
    <w:p w14:paraId="1DA5219F" w14:textId="77777777" w:rsidR="0010273E" w:rsidRDefault="0010273E" w:rsidP="0010273E">
      <w:pPr>
        <w:contextualSpacing/>
        <w:rPr>
          <w:rFonts w:asciiTheme="majorHAnsi" w:eastAsia="Times New Roman" w:hAnsiTheme="majorHAnsi" w:cs="Times New Roman"/>
          <w:b/>
        </w:rPr>
      </w:pPr>
    </w:p>
    <w:p w14:paraId="6307995E" w14:textId="77777777" w:rsidR="0010273E" w:rsidRDefault="0010273E" w:rsidP="0010273E">
      <w:pPr>
        <w:contextualSpacing/>
        <w:rPr>
          <w:rFonts w:asciiTheme="majorHAnsi" w:eastAsia="Times New Roman" w:hAnsiTheme="majorHAnsi" w:cs="Times New Roman"/>
        </w:rPr>
      </w:pPr>
      <w:r w:rsidRPr="00E449C2">
        <w:rPr>
          <w:rFonts w:asciiTheme="majorHAnsi" w:eastAsia="Times New Roman" w:hAnsiTheme="majorHAnsi" w:cs="Times New Roman"/>
          <w:b/>
        </w:rPr>
        <w:t>Hearing</w:t>
      </w:r>
      <w:r w:rsidRPr="0010273E">
        <w:rPr>
          <w:rFonts w:asciiTheme="majorHAnsi" w:eastAsia="Times New Roman" w:hAnsiTheme="majorHAnsi" w:cs="Times New Roman"/>
        </w:rPr>
        <w:t>, including the impact on speech and language:</w:t>
      </w:r>
    </w:p>
    <w:p w14:paraId="40EB7231" w14:textId="77777777" w:rsidR="00B26425" w:rsidRPr="0010273E" w:rsidRDefault="00B26425" w:rsidP="0010273E">
      <w:pPr>
        <w:contextualSpacing/>
        <w:rPr>
          <w:rFonts w:asciiTheme="majorHAnsi" w:eastAsia="Times New Roman" w:hAnsiTheme="majorHAnsi" w:cs="Times New Roman"/>
        </w:rPr>
      </w:pPr>
    </w:p>
    <w:tbl>
      <w:tblPr>
        <w:tblStyle w:val="TableGrid"/>
        <w:tblW w:w="0" w:type="auto"/>
        <w:tblLook w:val="04A0" w:firstRow="1" w:lastRow="0" w:firstColumn="1" w:lastColumn="0" w:noHBand="0" w:noVBand="1"/>
      </w:tblPr>
      <w:tblGrid>
        <w:gridCol w:w="4428"/>
        <w:gridCol w:w="2250"/>
        <w:gridCol w:w="3330"/>
        <w:gridCol w:w="2610"/>
        <w:gridCol w:w="1350"/>
      </w:tblGrid>
      <w:tr w:rsidR="00B26425" w:rsidRPr="0010273E" w14:paraId="0FE4A122" w14:textId="77777777" w:rsidTr="00925CEF">
        <w:tc>
          <w:tcPr>
            <w:tcW w:w="4428" w:type="dxa"/>
          </w:tcPr>
          <w:p w14:paraId="2C893EC9" w14:textId="77777777" w:rsidR="00B26425" w:rsidRPr="0010273E" w:rsidRDefault="00B26425" w:rsidP="00925CEF">
            <w:pPr>
              <w:spacing w:before="100" w:after="100"/>
              <w:contextualSpacing/>
              <w:rPr>
                <w:rFonts w:asciiTheme="majorHAnsi" w:eastAsia="Times New Roman" w:hAnsiTheme="majorHAnsi" w:cs="Times New Roman"/>
              </w:rPr>
            </w:pPr>
          </w:p>
        </w:tc>
        <w:tc>
          <w:tcPr>
            <w:tcW w:w="2250" w:type="dxa"/>
          </w:tcPr>
          <w:p w14:paraId="283A7C63" w14:textId="77777777" w:rsidR="00B26425" w:rsidRPr="0010273E" w:rsidRDefault="00B26425" w:rsidP="00925CEF">
            <w:pPr>
              <w:spacing w:before="100" w:after="100"/>
              <w:contextualSpacing/>
              <w:rPr>
                <w:rFonts w:asciiTheme="majorHAnsi" w:eastAsia="Times New Roman" w:hAnsiTheme="majorHAnsi" w:cs="Times New Roman"/>
              </w:rPr>
            </w:pPr>
            <w:r w:rsidRPr="00DB33B3">
              <w:rPr>
                <w:rFonts w:asciiTheme="majorHAnsi" w:eastAsia="Times New Roman" w:hAnsiTheme="majorHAnsi" w:cs="Times New Roman"/>
                <w:highlight w:val="yellow"/>
              </w:rPr>
              <w:t xml:space="preserve">course prefix and number </w:t>
            </w:r>
            <w:r w:rsidRPr="00DB33B3">
              <w:rPr>
                <w:rFonts w:asciiTheme="majorHAnsi" w:eastAsia="Times New Roman" w:hAnsiTheme="majorHAnsi" w:cs="Times New Roman"/>
                <w:sz w:val="20"/>
                <w:szCs w:val="20"/>
                <w:highlight w:val="yellow"/>
              </w:rPr>
              <w:t>(e.g., BIO 101)</w:t>
            </w:r>
          </w:p>
        </w:tc>
        <w:tc>
          <w:tcPr>
            <w:tcW w:w="3330" w:type="dxa"/>
          </w:tcPr>
          <w:p w14:paraId="66C2B3DC" w14:textId="77777777" w:rsidR="00B26425" w:rsidRPr="0010273E" w:rsidRDefault="00B26425" w:rsidP="00925CEF">
            <w:pPr>
              <w:spacing w:before="100" w:after="100"/>
              <w:contextualSpacing/>
              <w:rPr>
                <w:rFonts w:asciiTheme="majorHAnsi" w:eastAsia="Times New Roman" w:hAnsiTheme="majorHAnsi" w:cs="Times New Roman"/>
              </w:rPr>
            </w:pPr>
            <w:r w:rsidRPr="00DB33B3">
              <w:rPr>
                <w:rFonts w:asciiTheme="majorHAnsi" w:eastAsia="Times New Roman" w:hAnsiTheme="majorHAnsi" w:cs="Times New Roman"/>
                <w:highlight w:val="yellow"/>
              </w:rPr>
              <w:t xml:space="preserve">course name                                    </w:t>
            </w:r>
            <w:r w:rsidRPr="00DB33B3">
              <w:rPr>
                <w:rFonts w:asciiTheme="majorHAnsi" w:eastAsia="Times New Roman" w:hAnsiTheme="majorHAnsi" w:cs="Times New Roman"/>
                <w:sz w:val="21"/>
                <w:szCs w:val="21"/>
                <w:highlight w:val="yellow"/>
              </w:rPr>
              <w:t>as stated on transcript</w:t>
            </w:r>
          </w:p>
        </w:tc>
        <w:tc>
          <w:tcPr>
            <w:tcW w:w="2610" w:type="dxa"/>
          </w:tcPr>
          <w:p w14:paraId="567AED37" w14:textId="77777777" w:rsidR="00B26425" w:rsidRPr="0010273E" w:rsidRDefault="00B26425" w:rsidP="00925CEF">
            <w:pPr>
              <w:spacing w:before="100" w:after="100"/>
              <w:contextualSpacing/>
              <w:rPr>
                <w:rFonts w:asciiTheme="majorHAnsi" w:eastAsia="Times New Roman" w:hAnsiTheme="majorHAnsi" w:cs="Times New Roman"/>
              </w:rPr>
            </w:pPr>
            <w:r w:rsidRPr="00DB33B3">
              <w:rPr>
                <w:rFonts w:asciiTheme="majorHAnsi" w:eastAsia="Times New Roman" w:hAnsiTheme="majorHAnsi" w:cs="Times New Roman"/>
                <w:highlight w:val="yellow"/>
              </w:rPr>
              <w:t>institution and term/year taken</w:t>
            </w:r>
          </w:p>
        </w:tc>
        <w:tc>
          <w:tcPr>
            <w:tcW w:w="1350" w:type="dxa"/>
            <w:shd w:val="clear" w:color="auto" w:fill="D9D9D9" w:themeFill="background1" w:themeFillShade="D9"/>
          </w:tcPr>
          <w:p w14:paraId="44EB3F35" w14:textId="77777777" w:rsidR="00B26425" w:rsidRPr="0010273E" w:rsidRDefault="00B26425" w:rsidP="00925CEF">
            <w:pPr>
              <w:spacing w:before="100" w:after="100"/>
              <w:contextualSpacing/>
              <w:rPr>
                <w:rFonts w:asciiTheme="majorHAnsi" w:eastAsia="Times New Roman" w:hAnsiTheme="majorHAnsi" w:cs="Times New Roman"/>
              </w:rPr>
            </w:pPr>
            <w:r>
              <w:rPr>
                <w:rFonts w:asciiTheme="majorHAnsi" w:eastAsia="Times New Roman" w:hAnsiTheme="majorHAnsi" w:cs="Times New Roman"/>
                <w:i/>
                <w:sz w:val="18"/>
              </w:rPr>
              <w:t xml:space="preserve">department </w:t>
            </w:r>
            <w:r w:rsidRPr="00E449C2">
              <w:rPr>
                <w:rFonts w:asciiTheme="majorHAnsi" w:eastAsia="Times New Roman" w:hAnsiTheme="majorHAnsi" w:cs="Times New Roman"/>
                <w:i/>
                <w:sz w:val="18"/>
              </w:rPr>
              <w:t>confirmation</w:t>
            </w:r>
          </w:p>
        </w:tc>
      </w:tr>
      <w:tr w:rsidR="00B26425" w:rsidRPr="0010273E" w14:paraId="672051E1" w14:textId="77777777" w:rsidTr="00925CEF">
        <w:tc>
          <w:tcPr>
            <w:tcW w:w="4428" w:type="dxa"/>
          </w:tcPr>
          <w:p w14:paraId="510656C3" w14:textId="77777777" w:rsidR="00B26425" w:rsidRPr="0010273E" w:rsidRDefault="00B26425" w:rsidP="00925CEF">
            <w:pPr>
              <w:spacing w:before="100" w:after="100"/>
              <w:contextualSpacing/>
              <w:rPr>
                <w:rFonts w:asciiTheme="majorHAnsi" w:eastAsia="Times New Roman" w:hAnsiTheme="majorHAnsi" w:cs="Times New Roman"/>
                <w:b/>
              </w:rPr>
            </w:pPr>
            <w:r>
              <w:rPr>
                <w:rFonts w:asciiTheme="majorHAnsi" w:eastAsia="Times New Roman" w:hAnsiTheme="majorHAnsi" w:cs="Times New Roman"/>
                <w:b/>
              </w:rPr>
              <w:t>etiology/characteristics – disorders of the ear</w:t>
            </w:r>
          </w:p>
          <w:p w14:paraId="7B3B66A1" w14:textId="77777777" w:rsidR="00B26425" w:rsidRPr="0010273E" w:rsidRDefault="00B26425" w:rsidP="00925CEF">
            <w:pPr>
              <w:spacing w:before="100" w:after="100"/>
              <w:contextualSpacing/>
              <w:rPr>
                <w:rFonts w:asciiTheme="majorHAnsi" w:eastAsia="Times New Roman" w:hAnsiTheme="majorHAnsi" w:cs="Times New Roman"/>
                <w:i/>
              </w:rPr>
            </w:pPr>
          </w:p>
        </w:tc>
        <w:tc>
          <w:tcPr>
            <w:tcW w:w="2250" w:type="dxa"/>
          </w:tcPr>
          <w:p w14:paraId="30DD2EFE" w14:textId="2C79EF64" w:rsidR="00B26425" w:rsidRPr="0010273E" w:rsidRDefault="00B26425" w:rsidP="00925CEF">
            <w:pPr>
              <w:rPr>
                <w:rFonts w:asciiTheme="majorHAnsi" w:eastAsia="Times New Roman" w:hAnsiTheme="majorHAnsi" w:cs="Times New Roman"/>
              </w:rPr>
            </w:pPr>
            <w:r>
              <w:rPr>
                <w:rFonts w:asciiTheme="majorHAnsi" w:eastAsia="Times New Roman" w:hAnsiTheme="majorHAnsi" w:cs="Times New Roman"/>
              </w:rPr>
              <w:t>SPHR 487</w:t>
            </w:r>
          </w:p>
        </w:tc>
        <w:tc>
          <w:tcPr>
            <w:tcW w:w="3330" w:type="dxa"/>
          </w:tcPr>
          <w:p w14:paraId="30608D88" w14:textId="7F3773B9" w:rsidR="00B26425" w:rsidRPr="0010273E" w:rsidRDefault="00B26425" w:rsidP="00925CEF">
            <w:pPr>
              <w:rPr>
                <w:rFonts w:asciiTheme="majorHAnsi" w:eastAsia="Times New Roman" w:hAnsiTheme="majorHAnsi" w:cs="Times New Roman"/>
              </w:rPr>
            </w:pPr>
            <w:r>
              <w:rPr>
                <w:rFonts w:asciiTheme="majorHAnsi" w:eastAsia="Times New Roman" w:hAnsiTheme="majorHAnsi" w:cs="Times New Roman"/>
              </w:rPr>
              <w:t>Hearing Sciences</w:t>
            </w:r>
          </w:p>
        </w:tc>
        <w:tc>
          <w:tcPr>
            <w:tcW w:w="2610" w:type="dxa"/>
          </w:tcPr>
          <w:p w14:paraId="03226A49" w14:textId="65AA2AC5" w:rsidR="00B26425" w:rsidRPr="0010273E" w:rsidRDefault="00B26425" w:rsidP="00925CEF">
            <w:pPr>
              <w:rPr>
                <w:rFonts w:asciiTheme="majorHAnsi" w:eastAsia="Times New Roman" w:hAnsiTheme="majorHAnsi" w:cs="Times New Roman"/>
              </w:rPr>
            </w:pPr>
            <w:r>
              <w:rPr>
                <w:rFonts w:asciiTheme="majorHAnsi" w:eastAsia="Times New Roman" w:hAnsiTheme="majorHAnsi" w:cs="Times New Roman"/>
              </w:rPr>
              <w:t>PSU Fall 2024</w:t>
            </w:r>
          </w:p>
        </w:tc>
        <w:tc>
          <w:tcPr>
            <w:tcW w:w="1350" w:type="dxa"/>
            <w:shd w:val="clear" w:color="auto" w:fill="D9D9D9" w:themeFill="background1" w:themeFillShade="D9"/>
          </w:tcPr>
          <w:p w14:paraId="5A5417C2" w14:textId="77777777" w:rsidR="00B26425" w:rsidRPr="0010273E" w:rsidRDefault="00B26425" w:rsidP="00925CEF">
            <w:pPr>
              <w:rPr>
                <w:rFonts w:asciiTheme="majorHAnsi" w:eastAsia="Times New Roman" w:hAnsiTheme="majorHAnsi" w:cs="Times New Roman"/>
              </w:rPr>
            </w:pPr>
          </w:p>
        </w:tc>
      </w:tr>
      <w:tr w:rsidR="00B26425" w:rsidRPr="0010273E" w14:paraId="589CB3A0" w14:textId="77777777" w:rsidTr="00925CEF">
        <w:tc>
          <w:tcPr>
            <w:tcW w:w="4428" w:type="dxa"/>
          </w:tcPr>
          <w:p w14:paraId="5DF224DD" w14:textId="77777777" w:rsidR="00B26425" w:rsidRDefault="00B26425" w:rsidP="00925CEF">
            <w:pPr>
              <w:contextualSpacing/>
              <w:rPr>
                <w:rFonts w:asciiTheme="majorHAnsi" w:eastAsia="Times New Roman" w:hAnsiTheme="majorHAnsi" w:cs="Times New Roman"/>
                <w:b/>
              </w:rPr>
            </w:pPr>
            <w:r>
              <w:rPr>
                <w:rFonts w:asciiTheme="majorHAnsi" w:eastAsia="Times New Roman" w:hAnsiTheme="majorHAnsi" w:cs="Times New Roman"/>
                <w:b/>
              </w:rPr>
              <w:t>hearing assessment and habilitation/ rehabilitation</w:t>
            </w:r>
            <w:r w:rsidRPr="0010273E">
              <w:rPr>
                <w:rFonts w:asciiTheme="majorHAnsi" w:eastAsia="Times New Roman" w:hAnsiTheme="majorHAnsi" w:cs="Times New Roman"/>
                <w:b/>
              </w:rPr>
              <w:t xml:space="preserve"> </w:t>
            </w:r>
          </w:p>
          <w:p w14:paraId="2D7D235A" w14:textId="77777777" w:rsidR="00B26425" w:rsidRPr="0010273E" w:rsidRDefault="00B26425" w:rsidP="00925CEF">
            <w:pPr>
              <w:contextualSpacing/>
              <w:rPr>
                <w:rFonts w:asciiTheme="majorHAnsi" w:eastAsia="Times New Roman" w:hAnsiTheme="majorHAnsi" w:cs="Times New Roman"/>
                <w:b/>
              </w:rPr>
            </w:pPr>
          </w:p>
        </w:tc>
        <w:tc>
          <w:tcPr>
            <w:tcW w:w="2250" w:type="dxa"/>
          </w:tcPr>
          <w:p w14:paraId="7F446BE3" w14:textId="77777777" w:rsidR="00B26425" w:rsidRDefault="00B26425" w:rsidP="00925CEF">
            <w:pPr>
              <w:rPr>
                <w:rFonts w:asciiTheme="majorHAnsi" w:eastAsia="Times New Roman" w:hAnsiTheme="majorHAnsi" w:cs="Times New Roman"/>
              </w:rPr>
            </w:pPr>
            <w:r>
              <w:rPr>
                <w:rFonts w:asciiTheme="majorHAnsi" w:eastAsia="Times New Roman" w:hAnsiTheme="majorHAnsi" w:cs="Times New Roman"/>
              </w:rPr>
              <w:t>SPHR 488</w:t>
            </w:r>
          </w:p>
          <w:p w14:paraId="34C21135" w14:textId="6B0D6479" w:rsidR="00B26425" w:rsidRPr="0010273E" w:rsidRDefault="00B26425" w:rsidP="00925CEF">
            <w:pPr>
              <w:rPr>
                <w:rFonts w:asciiTheme="majorHAnsi" w:eastAsia="Times New Roman" w:hAnsiTheme="majorHAnsi" w:cs="Times New Roman"/>
              </w:rPr>
            </w:pPr>
            <w:r>
              <w:rPr>
                <w:rFonts w:asciiTheme="majorHAnsi" w:eastAsia="Times New Roman" w:hAnsiTheme="majorHAnsi" w:cs="Times New Roman"/>
              </w:rPr>
              <w:t>SPHR 498</w:t>
            </w:r>
          </w:p>
        </w:tc>
        <w:tc>
          <w:tcPr>
            <w:tcW w:w="3330" w:type="dxa"/>
          </w:tcPr>
          <w:p w14:paraId="1EFFA914" w14:textId="77777777" w:rsidR="00B26425" w:rsidRDefault="00B26425" w:rsidP="00925CEF">
            <w:pPr>
              <w:rPr>
                <w:rFonts w:asciiTheme="majorHAnsi" w:eastAsia="Times New Roman" w:hAnsiTheme="majorHAnsi" w:cs="Times New Roman"/>
              </w:rPr>
            </w:pPr>
            <w:r w:rsidRPr="00B26425">
              <w:rPr>
                <w:rFonts w:asciiTheme="majorHAnsi" w:eastAsia="Times New Roman" w:hAnsiTheme="majorHAnsi" w:cs="Times New Roman"/>
              </w:rPr>
              <w:t>Clinical Audiology</w:t>
            </w:r>
          </w:p>
          <w:p w14:paraId="141AEC1B" w14:textId="3718491B" w:rsidR="00B26425" w:rsidRPr="0010273E" w:rsidRDefault="00B26425" w:rsidP="00925CEF">
            <w:pPr>
              <w:rPr>
                <w:rFonts w:asciiTheme="majorHAnsi" w:eastAsia="Times New Roman" w:hAnsiTheme="majorHAnsi" w:cs="Times New Roman"/>
              </w:rPr>
            </w:pPr>
            <w:r>
              <w:rPr>
                <w:rFonts w:asciiTheme="majorHAnsi" w:eastAsia="Times New Roman" w:hAnsiTheme="majorHAnsi" w:cs="Times New Roman"/>
              </w:rPr>
              <w:t>Aural Rehabilitation</w:t>
            </w:r>
          </w:p>
        </w:tc>
        <w:tc>
          <w:tcPr>
            <w:tcW w:w="2610" w:type="dxa"/>
          </w:tcPr>
          <w:p w14:paraId="3FD1E184" w14:textId="77777777" w:rsidR="00B26425" w:rsidRDefault="00B26425" w:rsidP="00925CEF">
            <w:pPr>
              <w:rPr>
                <w:rFonts w:asciiTheme="majorHAnsi" w:eastAsia="Times New Roman" w:hAnsiTheme="majorHAnsi" w:cs="Times New Roman"/>
              </w:rPr>
            </w:pPr>
            <w:r>
              <w:rPr>
                <w:rFonts w:asciiTheme="majorHAnsi" w:eastAsia="Times New Roman" w:hAnsiTheme="majorHAnsi" w:cs="Times New Roman"/>
              </w:rPr>
              <w:t>PSU Winter 2025</w:t>
            </w:r>
          </w:p>
          <w:p w14:paraId="67E09715" w14:textId="4891E9E4" w:rsidR="00B26425" w:rsidRPr="0010273E" w:rsidRDefault="00B26425" w:rsidP="00925CEF">
            <w:pPr>
              <w:rPr>
                <w:rFonts w:asciiTheme="majorHAnsi" w:eastAsia="Times New Roman" w:hAnsiTheme="majorHAnsi" w:cs="Times New Roman"/>
              </w:rPr>
            </w:pPr>
            <w:r>
              <w:rPr>
                <w:rFonts w:asciiTheme="majorHAnsi" w:eastAsia="Times New Roman" w:hAnsiTheme="majorHAnsi" w:cs="Times New Roman"/>
              </w:rPr>
              <w:t xml:space="preserve">PSU </w:t>
            </w:r>
            <w:r>
              <w:rPr>
                <w:rFonts w:asciiTheme="majorHAnsi" w:eastAsia="Times New Roman" w:hAnsiTheme="majorHAnsi" w:cs="Times New Roman"/>
              </w:rPr>
              <w:t xml:space="preserve">Spring </w:t>
            </w:r>
            <w:r>
              <w:rPr>
                <w:rFonts w:asciiTheme="majorHAnsi" w:eastAsia="Times New Roman" w:hAnsiTheme="majorHAnsi" w:cs="Times New Roman"/>
              </w:rPr>
              <w:t>2025</w:t>
            </w:r>
          </w:p>
        </w:tc>
        <w:tc>
          <w:tcPr>
            <w:tcW w:w="1350" w:type="dxa"/>
            <w:shd w:val="clear" w:color="auto" w:fill="D9D9D9" w:themeFill="background1" w:themeFillShade="D9"/>
          </w:tcPr>
          <w:p w14:paraId="2E10E137" w14:textId="77777777" w:rsidR="00B26425" w:rsidRPr="0010273E" w:rsidRDefault="00B26425" w:rsidP="00925CEF">
            <w:pPr>
              <w:rPr>
                <w:rFonts w:asciiTheme="majorHAnsi" w:eastAsia="Times New Roman" w:hAnsiTheme="majorHAnsi" w:cs="Times New Roman"/>
              </w:rPr>
            </w:pPr>
          </w:p>
        </w:tc>
      </w:tr>
    </w:tbl>
    <w:p w14:paraId="3E570C8C" w14:textId="77777777" w:rsidR="00B26425" w:rsidRDefault="00B26425" w:rsidP="00B26425">
      <w:pPr>
        <w:rPr>
          <w:rFonts w:asciiTheme="majorHAnsi" w:eastAsia="Times New Roman" w:hAnsiTheme="majorHAnsi" w:cs="Times New Roman"/>
        </w:rPr>
      </w:pPr>
    </w:p>
    <w:sectPr w:rsidR="00B26425" w:rsidSect="00B26425">
      <w:footerReference w:type="default" r:id="rId6"/>
      <w:pgSz w:w="15840" w:h="12240" w:orient="landscape"/>
      <w:pgMar w:top="720" w:right="720" w:bottom="57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37476" w14:textId="77777777" w:rsidR="00162801" w:rsidRDefault="00162801" w:rsidP="004E2519">
      <w:pPr>
        <w:spacing w:before="0" w:after="0"/>
      </w:pPr>
      <w:r>
        <w:separator/>
      </w:r>
    </w:p>
  </w:endnote>
  <w:endnote w:type="continuationSeparator" w:id="0">
    <w:p w14:paraId="046E134E" w14:textId="77777777" w:rsidR="00162801" w:rsidRDefault="00162801" w:rsidP="004E25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319215"/>
      <w:docPartObj>
        <w:docPartGallery w:val="Page Numbers (Bottom of Page)"/>
        <w:docPartUnique/>
      </w:docPartObj>
    </w:sdtPr>
    <w:sdtEndPr>
      <w:rPr>
        <w:noProof/>
      </w:rPr>
    </w:sdtEndPr>
    <w:sdtContent>
      <w:p w14:paraId="544B5ACE" w14:textId="77777777" w:rsidR="004E2519" w:rsidRDefault="004E2519">
        <w:pPr>
          <w:pStyle w:val="Footer"/>
          <w:jc w:val="center"/>
        </w:pPr>
        <w:r>
          <w:fldChar w:fldCharType="begin"/>
        </w:r>
        <w:r>
          <w:instrText xml:space="preserve"> PAGE   \* MERGEFORMAT </w:instrText>
        </w:r>
        <w:r>
          <w:fldChar w:fldCharType="separate"/>
        </w:r>
        <w:r w:rsidR="00A64D7F">
          <w:rPr>
            <w:noProof/>
          </w:rPr>
          <w:t>1</w:t>
        </w:r>
        <w:r>
          <w:rPr>
            <w:noProof/>
          </w:rPr>
          <w:fldChar w:fldCharType="end"/>
        </w:r>
      </w:p>
    </w:sdtContent>
  </w:sdt>
  <w:p w14:paraId="69E76248" w14:textId="77777777" w:rsidR="004E2519" w:rsidRDefault="004E2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56D88" w14:textId="77777777" w:rsidR="00162801" w:rsidRDefault="00162801" w:rsidP="004E2519">
      <w:pPr>
        <w:spacing w:before="0" w:after="0"/>
      </w:pPr>
      <w:r>
        <w:separator/>
      </w:r>
    </w:p>
  </w:footnote>
  <w:footnote w:type="continuationSeparator" w:id="0">
    <w:p w14:paraId="42B67652" w14:textId="77777777" w:rsidR="00162801" w:rsidRDefault="00162801" w:rsidP="004E251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39"/>
    <w:rsid w:val="000E02CE"/>
    <w:rsid w:val="00100339"/>
    <w:rsid w:val="0010273E"/>
    <w:rsid w:val="00122710"/>
    <w:rsid w:val="00162801"/>
    <w:rsid w:val="001B5761"/>
    <w:rsid w:val="002A1F3A"/>
    <w:rsid w:val="00313348"/>
    <w:rsid w:val="003416D2"/>
    <w:rsid w:val="003B73ED"/>
    <w:rsid w:val="004A6DFA"/>
    <w:rsid w:val="004E2519"/>
    <w:rsid w:val="005E7820"/>
    <w:rsid w:val="00606B87"/>
    <w:rsid w:val="006928C5"/>
    <w:rsid w:val="006B50E7"/>
    <w:rsid w:val="00736511"/>
    <w:rsid w:val="008D2FA6"/>
    <w:rsid w:val="009B3FE9"/>
    <w:rsid w:val="00A64D7F"/>
    <w:rsid w:val="00AE5AE9"/>
    <w:rsid w:val="00B26425"/>
    <w:rsid w:val="00BD7B93"/>
    <w:rsid w:val="00BE20BD"/>
    <w:rsid w:val="00C95F29"/>
    <w:rsid w:val="00D106E9"/>
    <w:rsid w:val="00D43902"/>
    <w:rsid w:val="00D61A9D"/>
    <w:rsid w:val="00DB33B3"/>
    <w:rsid w:val="00E449C2"/>
    <w:rsid w:val="00FD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A77B"/>
  <w15:docId w15:val="{B11B81C9-A865-48AF-8A33-165F2D56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00339"/>
    <w:pPr>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03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0339"/>
    <w:rPr>
      <w:rFonts w:ascii="Times New Roman" w:eastAsia="Times New Roman" w:hAnsi="Times New Roman" w:cs="Times New Roman"/>
      <w:sz w:val="24"/>
      <w:szCs w:val="24"/>
    </w:rPr>
  </w:style>
  <w:style w:type="character" w:styleId="Strong">
    <w:name w:val="Strong"/>
    <w:basedOn w:val="DefaultParagraphFont"/>
    <w:uiPriority w:val="22"/>
    <w:qFormat/>
    <w:rsid w:val="00100339"/>
    <w:rPr>
      <w:b/>
      <w:bCs/>
    </w:rPr>
  </w:style>
  <w:style w:type="table" w:styleId="TableGrid">
    <w:name w:val="Table Grid"/>
    <w:basedOn w:val="TableNormal"/>
    <w:uiPriority w:val="59"/>
    <w:rsid w:val="001003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519"/>
    <w:pPr>
      <w:tabs>
        <w:tab w:val="center" w:pos="4680"/>
        <w:tab w:val="right" w:pos="9360"/>
      </w:tabs>
      <w:spacing w:before="0" w:after="0"/>
    </w:pPr>
  </w:style>
  <w:style w:type="character" w:customStyle="1" w:styleId="HeaderChar">
    <w:name w:val="Header Char"/>
    <w:basedOn w:val="DefaultParagraphFont"/>
    <w:link w:val="Header"/>
    <w:uiPriority w:val="99"/>
    <w:rsid w:val="004E2519"/>
  </w:style>
  <w:style w:type="paragraph" w:styleId="Footer">
    <w:name w:val="footer"/>
    <w:basedOn w:val="Normal"/>
    <w:link w:val="FooterChar"/>
    <w:uiPriority w:val="99"/>
    <w:unhideWhenUsed/>
    <w:rsid w:val="004E2519"/>
    <w:pPr>
      <w:tabs>
        <w:tab w:val="center" w:pos="4680"/>
        <w:tab w:val="right" w:pos="9360"/>
      </w:tabs>
      <w:spacing w:before="0" w:after="0"/>
    </w:pPr>
  </w:style>
  <w:style w:type="character" w:customStyle="1" w:styleId="FooterChar">
    <w:name w:val="Footer Char"/>
    <w:basedOn w:val="DefaultParagraphFont"/>
    <w:link w:val="Footer"/>
    <w:uiPriority w:val="99"/>
    <w:rsid w:val="004E2519"/>
  </w:style>
  <w:style w:type="character" w:styleId="Hyperlink">
    <w:name w:val="Hyperlink"/>
    <w:basedOn w:val="DefaultParagraphFont"/>
    <w:uiPriority w:val="99"/>
    <w:unhideWhenUsed/>
    <w:rsid w:val="004A6DFA"/>
    <w:rPr>
      <w:color w:val="0000FF" w:themeColor="hyperlink"/>
      <w:u w:val="single"/>
    </w:rPr>
  </w:style>
  <w:style w:type="character" w:styleId="UnresolvedMention">
    <w:name w:val="Unresolved Mention"/>
    <w:basedOn w:val="DefaultParagraphFont"/>
    <w:uiPriority w:val="99"/>
    <w:semiHidden/>
    <w:unhideWhenUsed/>
    <w:rsid w:val="004A6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6275">
      <w:bodyDiv w:val="1"/>
      <w:marLeft w:val="0"/>
      <w:marRight w:val="0"/>
      <w:marTop w:val="0"/>
      <w:marBottom w:val="0"/>
      <w:divBdr>
        <w:top w:val="none" w:sz="0" w:space="0" w:color="auto"/>
        <w:left w:val="none" w:sz="0" w:space="0" w:color="auto"/>
        <w:bottom w:val="none" w:sz="0" w:space="0" w:color="auto"/>
        <w:right w:val="none" w:sz="0" w:space="0" w:color="auto"/>
      </w:divBdr>
    </w:div>
    <w:div w:id="185217342">
      <w:bodyDiv w:val="1"/>
      <w:marLeft w:val="0"/>
      <w:marRight w:val="0"/>
      <w:marTop w:val="0"/>
      <w:marBottom w:val="0"/>
      <w:divBdr>
        <w:top w:val="none" w:sz="0" w:space="0" w:color="auto"/>
        <w:left w:val="none" w:sz="0" w:space="0" w:color="auto"/>
        <w:bottom w:val="none" w:sz="0" w:space="0" w:color="auto"/>
        <w:right w:val="none" w:sz="0" w:space="0" w:color="auto"/>
      </w:divBdr>
      <w:divsChild>
        <w:div w:id="1344359116">
          <w:marLeft w:val="0"/>
          <w:marRight w:val="0"/>
          <w:marTop w:val="0"/>
          <w:marBottom w:val="0"/>
          <w:divBdr>
            <w:top w:val="none" w:sz="0" w:space="0" w:color="auto"/>
            <w:left w:val="none" w:sz="0" w:space="0" w:color="auto"/>
            <w:bottom w:val="none" w:sz="0" w:space="0" w:color="auto"/>
            <w:right w:val="none" w:sz="0" w:space="0" w:color="auto"/>
          </w:divBdr>
        </w:div>
      </w:divsChild>
    </w:div>
    <w:div w:id="444272437">
      <w:bodyDiv w:val="1"/>
      <w:marLeft w:val="0"/>
      <w:marRight w:val="0"/>
      <w:marTop w:val="0"/>
      <w:marBottom w:val="0"/>
      <w:divBdr>
        <w:top w:val="none" w:sz="0" w:space="0" w:color="auto"/>
        <w:left w:val="none" w:sz="0" w:space="0" w:color="auto"/>
        <w:bottom w:val="none" w:sz="0" w:space="0" w:color="auto"/>
        <w:right w:val="none" w:sz="0" w:space="0" w:color="auto"/>
      </w:divBdr>
    </w:div>
    <w:div w:id="887296906">
      <w:bodyDiv w:val="1"/>
      <w:marLeft w:val="0"/>
      <w:marRight w:val="0"/>
      <w:marTop w:val="0"/>
      <w:marBottom w:val="0"/>
      <w:divBdr>
        <w:top w:val="none" w:sz="0" w:space="0" w:color="auto"/>
        <w:left w:val="none" w:sz="0" w:space="0" w:color="auto"/>
        <w:bottom w:val="none" w:sz="0" w:space="0" w:color="auto"/>
        <w:right w:val="none" w:sz="0" w:space="0" w:color="auto"/>
      </w:divBdr>
      <w:divsChild>
        <w:div w:id="507788964">
          <w:marLeft w:val="0"/>
          <w:marRight w:val="0"/>
          <w:marTop w:val="0"/>
          <w:marBottom w:val="0"/>
          <w:divBdr>
            <w:top w:val="none" w:sz="0" w:space="0" w:color="auto"/>
            <w:left w:val="none" w:sz="0" w:space="0" w:color="auto"/>
            <w:bottom w:val="none" w:sz="0" w:space="0" w:color="auto"/>
            <w:right w:val="none" w:sz="0" w:space="0" w:color="auto"/>
          </w:divBdr>
        </w:div>
      </w:divsChild>
    </w:div>
    <w:div w:id="957957484">
      <w:bodyDiv w:val="1"/>
      <w:marLeft w:val="0"/>
      <w:marRight w:val="0"/>
      <w:marTop w:val="0"/>
      <w:marBottom w:val="0"/>
      <w:divBdr>
        <w:top w:val="none" w:sz="0" w:space="0" w:color="auto"/>
        <w:left w:val="none" w:sz="0" w:space="0" w:color="auto"/>
        <w:bottom w:val="none" w:sz="0" w:space="0" w:color="auto"/>
        <w:right w:val="none" w:sz="0" w:space="0" w:color="auto"/>
      </w:divBdr>
      <w:divsChild>
        <w:div w:id="2132358810">
          <w:marLeft w:val="0"/>
          <w:marRight w:val="0"/>
          <w:marTop w:val="0"/>
          <w:marBottom w:val="0"/>
          <w:divBdr>
            <w:top w:val="none" w:sz="0" w:space="0" w:color="auto"/>
            <w:left w:val="none" w:sz="0" w:space="0" w:color="auto"/>
            <w:bottom w:val="none" w:sz="0" w:space="0" w:color="auto"/>
            <w:right w:val="none" w:sz="0" w:space="0" w:color="auto"/>
          </w:divBdr>
        </w:div>
      </w:divsChild>
    </w:div>
    <w:div w:id="1825312170">
      <w:bodyDiv w:val="1"/>
      <w:marLeft w:val="0"/>
      <w:marRight w:val="0"/>
      <w:marTop w:val="0"/>
      <w:marBottom w:val="0"/>
      <w:divBdr>
        <w:top w:val="none" w:sz="0" w:space="0" w:color="auto"/>
        <w:left w:val="none" w:sz="0" w:space="0" w:color="auto"/>
        <w:bottom w:val="none" w:sz="0" w:space="0" w:color="auto"/>
        <w:right w:val="none" w:sz="0" w:space="0" w:color="auto"/>
      </w:divBdr>
    </w:div>
    <w:div w:id="19668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kdurany</dc:creator>
  <cp:lastModifiedBy>Karen Durany</cp:lastModifiedBy>
  <cp:revision>3</cp:revision>
  <dcterms:created xsi:type="dcterms:W3CDTF">2024-08-22T19:06:00Z</dcterms:created>
  <dcterms:modified xsi:type="dcterms:W3CDTF">2024-08-22T19:15:00Z</dcterms:modified>
</cp:coreProperties>
</file>